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специальной обуви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562 934,53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Иной метод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bookmarkStart w:id="0" w:name="_GoBack"/>
            <w:r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 рыночного уровня цен приобретаемых материалов,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Стандарт организации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2.073 «Определение плановой цены материалов и оборудования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Методика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hyperlink r:id="rId8" w:tooltip="https://rosseti-sib.ru/purchases/upravlenie-zakupochnoy-deyatelnostyu/" w:history="1">
              <w:r>
                <w:rPr>
                  <w:rStyle w:val="622"/>
                  <w:rFonts w:ascii="Times New Roman" w:hAnsi="Times New Roman" w:cs="Times New Roman"/>
                  <w:sz w:val="28"/>
                  <w:szCs w:val="28"/>
                </w:rPr>
                <w:t xml:space="preserve">https://rosseti-sib.ru/purchases/upravlenie-zakupochnoy-deyatelnostyu/</w:t>
              </w:r>
            </w:hyperlink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851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622">
    <w:name w:val="Hyperlink"/>
    <w:basedOn w:val="618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rosseti-sib.ru/purchases/upravlenie-zakupochnoy-deyatelnosty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revision>4</cp:revision>
  <dcterms:created xsi:type="dcterms:W3CDTF">2021-12-16T06:13:00Z</dcterms:created>
  <dcterms:modified xsi:type="dcterms:W3CDTF">2025-04-16T11:02:30Z</dcterms:modified>
</cp:coreProperties>
</file>